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FB" w:rsidRPr="003703FB" w:rsidRDefault="003703FB" w:rsidP="003703FB">
      <w:pPr>
        <w:shd w:val="clear" w:color="auto" w:fill="FFFFFF"/>
        <w:spacing w:before="100" w:beforeAutospacing="1" w:after="16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eastAsia="ru-RU"/>
        </w:rPr>
      </w:pPr>
      <w:r w:rsidRPr="003703FB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eastAsia="ru-RU"/>
        </w:rPr>
        <w:t>Госпрограммы поддержки малого бизнеса — 2021</w:t>
      </w:r>
    </w:p>
    <w:p w:rsidR="003703FB" w:rsidRPr="003703FB" w:rsidRDefault="003703FB" w:rsidP="003703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E4E"/>
          <w:sz w:val="23"/>
          <w:szCs w:val="23"/>
          <w:lang w:eastAsia="ru-RU"/>
        </w:rPr>
      </w:pPr>
    </w:p>
    <w:p w:rsidR="003703FB" w:rsidRPr="003703FB" w:rsidRDefault="003703FB" w:rsidP="003703F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33"/>
          <w:szCs w:val="33"/>
          <w:lang w:eastAsia="ru-RU"/>
        </w:rPr>
      </w:pPr>
      <w:r w:rsidRPr="003703FB">
        <w:rPr>
          <w:rFonts w:ascii="Segoe UI" w:eastAsia="Times New Roman" w:hAnsi="Segoe UI" w:cs="Segoe UI"/>
          <w:color w:val="000000"/>
          <w:sz w:val="33"/>
          <w:szCs w:val="33"/>
          <w:lang w:eastAsia="ru-RU"/>
        </w:rPr>
        <w:t>В наступающем году государство планирует особенно поддержать туристические проекты, агробизнесы и инновационные идеи. А на сайте Корпорации МСП уже сейчас работает сервис, с помощью которого можно узнать обо всех льготах, субсидиях и грантах, на которые вправе претендовать компания или ИП.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сегодняшний день государство предлагает широкий спектр мер поддержки как для начинающих предпринимателей, так и для уже работающих бизнесов. </w:t>
      </w:r>
    </w:p>
    <w:p w:rsidR="003703FB" w:rsidRPr="003703FB" w:rsidRDefault="003703FB" w:rsidP="003703FB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anchor="1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Субсидии от центра занятости</w:t>
        </w:r>
      </w:hyperlink>
    </w:p>
    <w:p w:rsidR="003703FB" w:rsidRPr="003703FB" w:rsidRDefault="003703FB" w:rsidP="003703FB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anchor="2" w:history="1">
        <w:proofErr w:type="spellStart"/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Грантовая</w:t>
        </w:r>
        <w:proofErr w:type="spellEnd"/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 xml:space="preserve"> поддержка</w:t>
        </w:r>
      </w:hyperlink>
    </w:p>
    <w:p w:rsidR="003703FB" w:rsidRPr="003703FB" w:rsidRDefault="003703FB" w:rsidP="003703FB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anchor="3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Федеральные программы поддержки бизнеса</w:t>
        </w:r>
      </w:hyperlink>
    </w:p>
    <w:p w:rsidR="003703FB" w:rsidRPr="003703FB" w:rsidRDefault="003703FB" w:rsidP="003703FB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anchor="4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Региональные программы поддержки</w:t>
        </w:r>
      </w:hyperlink>
    </w:p>
    <w:p w:rsidR="003703FB" w:rsidRPr="003703FB" w:rsidRDefault="003703FB" w:rsidP="003703FB">
      <w:pPr>
        <w:numPr>
          <w:ilvl w:val="0"/>
          <w:numId w:val="1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anchor="5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Субсидии на возмещение процентов по кредиту</w:t>
        </w:r>
      </w:hyperlink>
    </w:p>
    <w:p w:rsidR="003703FB" w:rsidRPr="003703FB" w:rsidRDefault="003703FB" w:rsidP="003703FB">
      <w:pPr>
        <w:numPr>
          <w:ilvl w:val="0"/>
          <w:numId w:val="1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anchor="6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 xml:space="preserve">Поддержка </w:t>
        </w:r>
        <w:proofErr w:type="spellStart"/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самозанятых</w:t>
        </w:r>
        <w:proofErr w:type="spellEnd"/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 xml:space="preserve"> в 2021 году</w:t>
        </w:r>
      </w:hyperlink>
    </w:p>
    <w:p w:rsidR="003703FB" w:rsidRPr="003703FB" w:rsidRDefault="003703FB" w:rsidP="003703FB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Субсидии от центра занятости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только планируете открыть свой бизнес, то первое, о чем вам нужно знать, — о существовании специальной программы Минэкономразвития по предоставлению субсидий малому и среднему предпринимательству на региональном уровне. В рамках этой программы центр занятости населения оказывает единовременную финансовую помощь в открытии собственного дела. Но чтобы на нее рассчитывать, нужно быть официальным безработным.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суммы зависит от региона. Например, </w:t>
      </w:r>
      <w:hyperlink r:id="rId11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московские предприниматели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могут рассчитывать на совсем небольшую финансовую помощь от столичного Центра занятости населения. Она составит не более 10 200 руб. А </w:t>
      </w:r>
      <w:hyperlink r:id="rId12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в Подмосковье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можно претендовать на 145 560 руб. и еще дополнительно вам выделят 7 500 руб. на подготовку документов.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Приличная сумма выплачивается </w:t>
      </w:r>
      <w:hyperlink r:id="rId13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в Краснодарском крае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она измеряется 24-кратной максимальной величиной по</w:t>
      </w: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собия по безработице. В 2020 году она составляла 192 000 руб. Кроме того, у краснодарских предпринимателей есть возможность получить возмещение части затрат на дополнительное рабочее </w:t>
      </w: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место для трудоустройства безработных граждан. Такая помощь будет равна 12-кратной максимальной величине пособия по безработице. В 2020 году она была равна 96 000 руб.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Актуальную информацию о размере помощи по своему региону следует уточнять на сайте администрации или региональном портале «Мой бизнес». 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правило, единовременная финансовая помощь от центра занятости выделяется на подготовку документов: оплату госпошлины, совершение нотариальных действий при 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госрегистрации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приобретение бланочной документации, изготовление печатей, штампов, услуги правового характера, консультации.</w:t>
      </w:r>
    </w:p>
    <w:p w:rsidR="003703FB" w:rsidRPr="003703FB" w:rsidRDefault="003703FB" w:rsidP="00370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703FB" w:rsidRPr="003703FB" w:rsidRDefault="003703FB" w:rsidP="003703F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703F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Ведение бизнеса по закону. Сервисы для ИП и ООО младше 3 месяцев</w:t>
      </w:r>
    </w:p>
    <w:p w:rsidR="003703FB" w:rsidRPr="003703FB" w:rsidRDefault="003703FB" w:rsidP="003703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hyperlink r:id="rId14" w:history="1">
        <w:r w:rsidRPr="003703FB">
          <w:rPr>
            <w:rFonts w:ascii="Times New Roman" w:eastAsia="Times New Roman" w:hAnsi="Times New Roman" w:cs="Times New Roman"/>
            <w:b/>
            <w:bCs/>
            <w:color w:val="1E79BE"/>
            <w:sz w:val="27"/>
            <w:szCs w:val="27"/>
            <w:u w:val="single"/>
            <w:lang w:eastAsia="ru-RU"/>
          </w:rPr>
          <w:t>Подробности</w:t>
        </w:r>
      </w:hyperlink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Субсидия от центра занятости доступна гражданам, достигшим возраста 18 лет. Но чтобы ее получить, им необходимо встать на учет в центр занятости, то есть иметь статус безработного и получать пособие. Стоит также учесть, что субсидии дают не всем, поскольку их ограниченное количество, и выдаются они в начале финансового года (нужно постараться попасть в нужный период). Об этих и других тонкостях </w:t>
      </w:r>
      <w:hyperlink r:id="rId15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рассказывает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Василий Пучков, заместитель директора регионального центра поддержки олимпиадного движения.</w:t>
      </w:r>
    </w:p>
    <w:p w:rsidR="003703FB" w:rsidRPr="003703FB" w:rsidRDefault="003703FB" w:rsidP="003703FB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spellStart"/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Грантовая</w:t>
      </w:r>
      <w:proofErr w:type="spellEnd"/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поддержка</w:t>
      </w:r>
    </w:p>
    <w:p w:rsidR="003703FB" w:rsidRPr="003703FB" w:rsidRDefault="003703FB" w:rsidP="003703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Такую меру господдержки обычно оказывают региональные власти. Грант предоставляется как начинающему, так и опытному предпринимателю в форме 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 на безвозвратной и безвозмездной основах.</w:t>
      </w:r>
    </w:p>
    <w:p w:rsidR="003703FB" w:rsidRPr="003703FB" w:rsidRDefault="003703FB" w:rsidP="003703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Ближайший год однозначно будут поддерживать такие направления, как инновации, сельское хозяйство, фермерство, туризм.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16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государственной поддержки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 Подмосковью такую информацию дает сайт </w:t>
      </w:r>
      <w:hyperlink r:id="rId17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Центра Развития Предпринимательства Московской Области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 сайте «</w:t>
      </w:r>
      <w:hyperlink r:id="rId18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Малый бизнес Кубани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приводится подробный список субсидий для предпринимателей, работающих на юге России.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Будет проще, если вы воспользуетесь поиском в разделе «</w:t>
      </w:r>
      <w:hyperlink r:id="rId19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Центры инфраструктуры МСП в вашем регионе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3703FB" w:rsidRPr="003703FB" w:rsidRDefault="003703FB" w:rsidP="003703FB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сайте Министерства экономического развития РФ можно воспользоваться </w:t>
      </w:r>
      <w:hyperlink r:id="rId20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списком уполномоченных органов по поддержке малого и среднего предпринимательства в субъектах Российской Федерации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Поддержка малого агробизнеса в 2021 году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Последние несколько лет государство особенно поддерживало отечественный АПК. И в 2021 году эта поддержка расширится за счет нового гранта «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Агропрогресс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hyperlink r:id="rId21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Постановление Правительства РФ от 26.11.2020 № 1932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господдержки — не более 30 млн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занимаетесь сельским хозяйством, то вам могут подойти другие гранты:</w:t>
      </w:r>
    </w:p>
    <w:p w:rsidR="003703FB" w:rsidRPr="003703FB" w:rsidRDefault="003703FB" w:rsidP="003703FB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Агростартап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» — для КФХ, ИП. Суммы: 3-5 млн руб.</w:t>
      </w:r>
    </w:p>
    <w:p w:rsidR="003703FB" w:rsidRPr="003703FB" w:rsidRDefault="003703FB" w:rsidP="003703FB">
      <w:pPr>
        <w:numPr>
          <w:ilvl w:val="0"/>
          <w:numId w:val="2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Грант на развитие семейной фермы — для КФХ, ИП, отвечающим критериям 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микропредприятия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 Сумма — не более 30 млн руб.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2021 году аграриям из регионов Дальнего Востока увеличат размер грантов на развитие семейных ферм и сельхозкооперативов. Если ранее объем поддержки достигал не более 60 %, то теперь он увеличится до 70 %. При этом возможно компенсирование до 20 % оставшихся затрат за счет средств регионального бюджета.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Гранты для туристического бизнеса в 2021 году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предоставления субсидий на 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грантовую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поддержку бизнес-идей, связанных с развитием внутреннего и въездного туризма, определены </w:t>
      </w:r>
      <w:hyperlink r:id="rId22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Постановлением Правительства РФ от 07.12.2019 № 1619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Выделяемые средства можно тратить на создание новых туристических маршрутов, покупку модульных гостиниц и оборудования для туристических </w:t>
      </w: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информационных центров, разработку аудиогидов, онлайн-путеводителей, установку пандусов и подъемников для людей с инвалидностью.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 на гранты выделяются ежегодно, они направляются Ростуризму, а оно в свою очередь проводит конкурс среди предпринимателей на основе полученных заявок. Максимальная сумма гранта составляет 3 млн руб.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оценить, какие проекты чаще всего получают финансирование, ознакомьтесь с </w:t>
      </w:r>
      <w:hyperlink r:id="rId23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результатами конкурса за 2020 год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2021 году для ИП и компаний правила получения грантов будут упрощены (</w:t>
      </w:r>
      <w:hyperlink r:id="rId24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Постановление Правительства РФ от 11.08.2020 № 1208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Ключевые изменения:</w:t>
      </w:r>
    </w:p>
    <w:p w:rsidR="003703FB" w:rsidRPr="003703FB" w:rsidRDefault="003703FB" w:rsidP="003703FB">
      <w:pPr>
        <w:numPr>
          <w:ilvl w:val="0"/>
          <w:numId w:val="3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подавать заявки и все необходимые документы на гранты можно в электронной форме (в том числе справки об уплате налогов и сборов, бизнес-планы проектов, информацию о численности сотрудников, копии учредительных документов, выписки из ЕГРИП и ЕГРЮЛ);</w:t>
      </w:r>
    </w:p>
    <w:p w:rsidR="003703FB" w:rsidRPr="003703FB" w:rsidRDefault="003703FB" w:rsidP="003703FB">
      <w:pPr>
        <w:numPr>
          <w:ilvl w:val="0"/>
          <w:numId w:val="3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сокращены сроки проведения конкурсного отбора.</w:t>
      </w:r>
    </w:p>
    <w:p w:rsidR="003703FB" w:rsidRPr="003703FB" w:rsidRDefault="003703FB" w:rsidP="003703FB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Федеральные программы поддержки бизнеса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 вид поддержки бизнеса можно разделить на несколько программ от различных ведомств и организаций.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Минэкономразвития России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интересы распространяются на реализацию </w:t>
      </w:r>
      <w:hyperlink r:id="rId25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программы по предоставлению субсидий из федерального бюджета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 оказания господдержки субъектам МСП в регионах (в соответствии с </w:t>
      </w:r>
      <w:hyperlink r:id="rId26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Постановлением Правительства РФ от 11.02.2019 № 110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ежегодно издаваемыми приказами Минэкономразвития).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софинансируются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регионами.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экотуризм, развивает социальное предпринимательство.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Корпорации МСП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организация занимается </w:t>
      </w:r>
      <w:hyperlink r:id="rId27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решением различного спектра задач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инвестпроектов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др. 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8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На сайте корпорации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можно узнать обо всех льготах, субсидиях и грантах, которые положены вашей компании.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АО «МСП Банк»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Занимается </w:t>
      </w:r>
      <w:hyperlink r:id="rId29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государственной программой финансовой поддержки предпринимательства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Фонд содействия развитию малых форм предприятий в научно-технической сфере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организация </w:t>
      </w:r>
      <w:hyperlink r:id="rId30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отвечает за развитие и поддержку малых предприятий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инноваторов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 также есть программа для 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стартапов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3703FB" w:rsidRPr="003703FB" w:rsidRDefault="003703FB" w:rsidP="003703FB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Минсельхоз России</w:t>
      </w:r>
      <w:bookmarkStart w:id="0" w:name="_GoBack"/>
      <w:bookmarkEnd w:id="0"/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агропромышленного комплекса предусмотрены </w:t>
      </w:r>
      <w:hyperlink r:id="rId31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различные меры государственной поддержки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2021 году. Так, с 1 января 2017 года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5 %.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3703FB" w:rsidRPr="003703FB" w:rsidRDefault="003703FB" w:rsidP="003703FB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Региональные программы поддержки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32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сайт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дает подробную информацию и по видам, и по формам, и по инфраструктуре поддержки.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можно воспользоваться поиском в разделе «</w:t>
      </w:r>
      <w:hyperlink r:id="rId33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Центры инфраструктуры МСП в вашем регионе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 сайте «Мой бизнес».  </w:t>
      </w:r>
    </w:p>
    <w:p w:rsidR="003703FB" w:rsidRPr="003703FB" w:rsidRDefault="003703FB" w:rsidP="003703FB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Субсидии на возмещение процентов по кредиту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получения субсидии нужно уточнять в регионах. Например, так выглядят </w:t>
      </w:r>
      <w:hyperlink r:id="rId34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требования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к субъектам МСП в Москве.</w:t>
      </w:r>
    </w:p>
    <w:p w:rsidR="003703FB" w:rsidRPr="003703FB" w:rsidRDefault="003703FB" w:rsidP="003703FB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Поддержка </w:t>
      </w:r>
      <w:proofErr w:type="spellStart"/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самозанятых</w:t>
      </w:r>
      <w:proofErr w:type="spellEnd"/>
      <w:r w:rsidRPr="003703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в 2021 году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5" w:tgtFrame="_blank" w:history="1">
        <w:r w:rsidRPr="003703FB">
          <w:rPr>
            <w:rFonts w:ascii="Times New Roman" w:eastAsia="Times New Roman" w:hAnsi="Times New Roman" w:cs="Times New Roman"/>
            <w:color w:val="1E79BE"/>
            <w:sz w:val="27"/>
            <w:szCs w:val="27"/>
            <w:u w:val="single"/>
            <w:lang w:eastAsia="ru-RU"/>
          </w:rPr>
          <w:t>Постановление Правительства РФ от 29.09.2020 № 1563</w:t>
        </w:r>
      </w:hyperlink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распространило на </w:t>
      </w:r>
      <w:proofErr w:type="spellStart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самозанятых</w:t>
      </w:r>
      <w:proofErr w:type="spellEnd"/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меры поддержки, которые ранее были предусмотрены для МСП.</w:t>
      </w:r>
    </w:p>
    <w:p w:rsidR="003703FB" w:rsidRPr="003703FB" w:rsidRDefault="003703FB" w:rsidP="003703FB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3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они смогут воспользоваться полным набором услуг, сервисов и финансовых инструментов в центрах «Мой бизнес».</w:t>
      </w:r>
    </w:p>
    <w:p w:rsidR="003C575E" w:rsidRDefault="003C575E"/>
    <w:sectPr w:rsidR="003C575E" w:rsidSect="003703F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A7C"/>
    <w:multiLevelType w:val="multilevel"/>
    <w:tmpl w:val="2D0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47717"/>
    <w:multiLevelType w:val="multilevel"/>
    <w:tmpl w:val="1506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36265"/>
    <w:multiLevelType w:val="multilevel"/>
    <w:tmpl w:val="F6A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FB"/>
    <w:rsid w:val="003703FB"/>
    <w:rsid w:val="003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47822-A70A-455D-B11B-4EDB871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392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417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50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290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12" w:space="8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0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1149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8532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317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7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767293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2458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9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929617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4710" TargetMode="External"/><Relationship Id="rId13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18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26" Type="http://schemas.openxmlformats.org/officeDocument/2006/relationships/hyperlink" Target="https://normativ.kontur.ru/document?moduleId=1&amp;documentId=330090&amp;p=1210&amp;utm_source=yandex&amp;utm_medium=organic&amp;utm_referer=yandex.ru&amp;utm_startpage=kontur.ru%2Farticles%2F4710&amp;utm_orderpage=kontur.ru%2Farticles%2F4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100&amp;documentId=14893&amp;p=1210&amp;utm_source=yandex&amp;utm_medium=organic&amp;utm_referer=yandex.ru&amp;utm_startpage=kontur.ru%2Farticles%2F4710&amp;utm_orderpage=kontur.ru%2Farticles%2F4710" TargetMode="External"/><Relationship Id="rId34" Type="http://schemas.openxmlformats.org/officeDocument/2006/relationships/hyperlink" Target="https://www.mos.ru/dpir/function/napravlenie-deyatelnosti-dpir/podderzhka-i-razvitie-predprinimatelstva/finansovaya-podderzhka/subsidii-na-vozmeshchenie-protcentov-po-kreditu/?p=1210&amp;utm_source=yandex&amp;utm_medium=organic&amp;utm_referer=yandex.ru&amp;utm_startpage=kontur.ru%2Farticles%2F4710&amp;utm_orderpage=kontur.ru%2Farticles%2F4710" TargetMode="External"/><Relationship Id="rId7" Type="http://schemas.openxmlformats.org/officeDocument/2006/relationships/hyperlink" Target="https://kontur.ru/articles/4710" TargetMode="External"/><Relationship Id="rId12" Type="http://schemas.openxmlformats.org/officeDocument/2006/relationships/hyperlink" Target="https://msr.mosreg.ru/sobytiya/novosti-ministerstva/02-09-2020-13-16-48-v-podmoskove-s-nachala-goda-215-chelovek-otkryli-s?p=1210&amp;utm_source=yandex&amp;utm_medium=organic&amp;utm_referer=yandex.ru&amp;utm_startpage=kontur.ru%2Farticles%2F4710&amp;utm_orderpage=kontur.ru%2Farticles%2F4710" TargetMode="External"/><Relationship Id="rId17" Type="http://schemas.openxmlformats.org/officeDocument/2006/relationships/hyperlink" Target="http://www.mspmo.ru/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5" Type="http://schemas.openxmlformats.org/officeDocument/2006/relationships/hyperlink" Target="http://old.economy.gov.ru/minec/activity/sections/smallBusiness?p=1210&amp;utm_source=yandex&amp;utm_medium=organic&amp;utm_referer=yandex.ru&amp;utm_startpage=kontur.ru%2Farticles%2F4710&amp;utm_orderpage=kontur.ru%2Farticles%2F4710" TargetMode="External"/><Relationship Id="rId33" Type="http://schemas.openxmlformats.org/officeDocument/2006/relationships/hyperlink" Target="https://xn--90aifddrld7a.xn--p1ai/centers?p=1210&amp;utm_source=yandex&amp;utm_medium=organic&amp;utm_referer=yandex.ru&amp;utm_startpage=kontur.ru%2Farticles%2F4710&amp;utm_orderpage=kontur.ru%2Farticles%2F4710" TargetMode="External"/><Relationship Id="rId2" Type="http://schemas.openxmlformats.org/officeDocument/2006/relationships/styles" Target="styles.xml"/><Relationship Id="rId16" Type="http://schemas.openxmlformats.org/officeDocument/2006/relationships/hyperlink" Target="http://mert.tatarstan.ru/rus/gosudarstvennaya-podderzhka.htm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0" Type="http://schemas.openxmlformats.org/officeDocument/2006/relationships/hyperlink" Target="http://economy.gov.ru/minec/activity/sections/smallbusiness/2017010208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9" Type="http://schemas.openxmlformats.org/officeDocument/2006/relationships/hyperlink" Target="https://mspbank.ru/who-can-receive-help/?p=1210&amp;utm_source=yandex&amp;utm_medium=organic&amp;utm_referer=yandex.ru&amp;utm_startpage=kontur.ru%2Farticles%2F4710&amp;utm_orderpage=kontur.ru%2Farticles%2F4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Relationship Id="rId11" Type="http://schemas.openxmlformats.org/officeDocument/2006/relationships/hyperlink" Target="https://dszn.ru/press-center/news/4185?p=1210&amp;utm_source=yandex&amp;utm_medium=organic&amp;utm_referer=yandex.ru&amp;utm_startpage=kontur.ru%2Farticles%2F4710&amp;utm_orderpage=kontur.ru%2Farticles%2F4710" TargetMode="External"/><Relationship Id="rId24" Type="http://schemas.openxmlformats.org/officeDocument/2006/relationships/hyperlink" Target="https://normativ.kontur.ru/document?moduleId=1100&amp;documentId=9870&amp;p=1210&amp;utm_source=yandex&amp;utm_medium=organic&amp;utm_referer=yandex.ru&amp;utm_startpage=kontur.ru%2Farticles%2F4710&amp;utm_orderpage=kontur.ru%2Farticles%2F4710" TargetMode="External"/><Relationship Id="rId32" Type="http://schemas.openxmlformats.org/officeDocument/2006/relationships/hyperlink" Target="http://www.msp.saratov.gov.ru/?p=1210&amp;utm_source=yandex&amp;utm_medium=organic&amp;utm_referer=yandex.ru&amp;utm_startpage=kontur.ru%2Farticles%2F4710&amp;utm_orderpage=kontur.ru%2Farticles%2F471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kontur.ru/articles/4710" TargetMode="External"/><Relationship Id="rId15" Type="http://schemas.openxmlformats.org/officeDocument/2006/relationships/hyperlink" Target="https://kontur.ru/articles/4627" TargetMode="External"/><Relationship Id="rId23" Type="http://schemas.openxmlformats.org/officeDocument/2006/relationships/hyperlink" Target="https://1619.tourism.gov.ru/?p=1210&amp;utm_source=yandex&amp;utm_medium=organic&amp;utm_referer=yandex.ru&amp;utm_startpage=kontur.ru%2Farticles%2F4710&amp;utm_orderpage=kontur.ru%2Farticles%2F4710" TargetMode="External"/><Relationship Id="rId28" Type="http://schemas.openxmlformats.org/officeDocument/2006/relationships/hyperlink" Target="https://smbn.ru/service/support?p=1210&amp;utm_source=yandex&amp;utm_medium=organic&amp;utm_referer=yandex.ru&amp;utm_startpage=kontur.ru%2Farticles%2F4710&amp;utm_orderpage=kontur.ru%2Farticles%2F47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://xn--90aifddrld7a.xn--p1ai/centers?p=1210&amp;utm_source=yandex&amp;utm_medium=organic&amp;utm_referer=yandex.ru&amp;utm_startpage=kontur.ru%2Farticles%2F4710&amp;utm_orderpage=kontur.ru%2Farticles%2F4710" TargetMode="External"/><Relationship Id="rId31" Type="http://schemas.openxmlformats.org/officeDocument/2006/relationships/hyperlink" Target="http://mcx.ru/activity/state-support/measures/?p=1210&amp;utm_source=yandex&amp;utm_medium=organic&amp;utm_referer=yandex.ru&amp;utm_startpage=kontur.ru%2Farticles%2F4710&amp;utm_orderpage=kontur.ru%2Farticles%2F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kontur.ru/products/new-ip-ooo?from=articles_business" TargetMode="External"/><Relationship Id="rId22" Type="http://schemas.openxmlformats.org/officeDocument/2006/relationships/hyperlink" Target="https://normativ.kontur.ru/document?moduleId=1100&amp;documentId=4380&amp;p=1210&amp;utm_source=yandex&amp;utm_medium=organic&amp;utm_referer=yandex.ru&amp;utm_startpage=kontur.ru%2Farticles%2F4710&amp;utm_orderpage=kontur.ru%2Farticles%2F4710" TargetMode="External"/><Relationship Id="rId27" Type="http://schemas.openxmlformats.org/officeDocument/2006/relationships/hyperlink" Target="https://corpmsp.ru/org-infrastruktury-podderzhki/?p=1210&amp;utm_source=yandex&amp;utm_medium=organic&amp;utm_referer=yandex.ru&amp;utm_startpage=kontur.ru%2Farticles%2F4710&amp;utm_orderpage=kontur.ru%2Farticles%2F4710" TargetMode="External"/><Relationship Id="rId30" Type="http://schemas.openxmlformats.org/officeDocument/2006/relationships/hyperlink" Target="http://www.fasie.ru/programs/?p=1210&amp;utm_source=yandex&amp;utm_medium=organic&amp;utm_referer=yandex.ru&amp;utm_startpage=kontur.ru%2Farticles%2F4710&amp;utm_orderpage=kontur.ru%2Farticles%2F4710" TargetMode="External"/><Relationship Id="rId35" Type="http://schemas.openxmlformats.org/officeDocument/2006/relationships/hyperlink" Target="https://normativ.kontur.ru/document?moduleId=1&amp;documentId=372225&amp;p=1210&amp;utm_source=yandex&amp;utm_medium=organic&amp;utm_referer=yandex.ru&amp;utm_startpage=kontur.ru%2Farticles%2F4710&amp;utm_orderpage=kontur.ru%2Farticles%2F4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2021-03-09T13:32:00Z</dcterms:created>
  <dcterms:modified xsi:type="dcterms:W3CDTF">2021-03-09T13:36:00Z</dcterms:modified>
</cp:coreProperties>
</file>