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 xml:space="preserve">СТАРОЛЕЩИНСКОГО СЕЛЬСОВЕТА 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8B6127" w:rsidRDefault="003D0029" w:rsidP="003D0029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D03C14" w:rsidRPr="003D0029" w:rsidRDefault="003D0029" w:rsidP="003D0029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                                 </w:t>
      </w:r>
      <w:proofErr w:type="gramStart"/>
      <w:r w:rsidRPr="008B6127">
        <w:rPr>
          <w:rFonts w:ascii="Arial" w:hAnsi="Arial" w:cs="Arial"/>
          <w:b/>
          <w:sz w:val="32"/>
          <w:szCs w:val="32"/>
        </w:rPr>
        <w:t>от</w:t>
      </w:r>
      <w:proofErr w:type="gramEnd"/>
      <w:r w:rsidRPr="008B612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проект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3D0029">
        <w:rPr>
          <w:b/>
          <w:bCs/>
          <w:color w:val="000000"/>
          <w:sz w:val="28"/>
          <w:szCs w:val="28"/>
        </w:rPr>
        <w:t>муници</w:t>
      </w:r>
      <w:r w:rsidR="003D0029">
        <w:rPr>
          <w:b/>
          <w:bCs/>
          <w:color w:val="000000"/>
          <w:sz w:val="28"/>
          <w:szCs w:val="28"/>
        </w:rPr>
        <w:t>пального образования «Старолещинский сельсовет</w:t>
      </w:r>
      <w:proofErr w:type="gramStart"/>
      <w:r w:rsidR="003D0029">
        <w:rPr>
          <w:b/>
          <w:bCs/>
          <w:color w:val="000000"/>
          <w:sz w:val="28"/>
          <w:szCs w:val="28"/>
        </w:rPr>
        <w:t>»С</w:t>
      </w:r>
      <w:proofErr w:type="gramEnd"/>
      <w:r w:rsidR="003D0029">
        <w:rPr>
          <w:b/>
          <w:bCs/>
          <w:color w:val="000000"/>
          <w:sz w:val="28"/>
          <w:szCs w:val="28"/>
        </w:rPr>
        <w:t>олнцевского района Курской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3D0029" w:rsidRDefault="00D03C14" w:rsidP="003D002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</w:t>
      </w:r>
      <w:r w:rsidRPr="003D0029">
        <w:rPr>
          <w:color w:val="000000"/>
          <w:sz w:val="28"/>
          <w:szCs w:val="28"/>
        </w:rPr>
        <w:t>контроле (надзоре) и муниципальном контроле в Российской Федерации», Уставом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="003D0029" w:rsidRPr="003D0029">
        <w:rPr>
          <w:iCs/>
          <w:sz w:val="28"/>
          <w:szCs w:val="28"/>
        </w:rPr>
        <w:t>Собрание депутатов Старолещинского сельсовета Солнцевского района</w:t>
      </w:r>
      <w:r w:rsidR="003D0029">
        <w:rPr>
          <w:iCs/>
          <w:sz w:val="28"/>
          <w:szCs w:val="28"/>
        </w:rPr>
        <w:t xml:space="preserve"> Курской области</w:t>
      </w:r>
      <w:r w:rsidR="003D0029" w:rsidRPr="003D0029">
        <w:t xml:space="preserve"> </w:t>
      </w:r>
      <w:r w:rsidR="003D0029" w:rsidRPr="00276B12">
        <w:t>РЕШИЛО:</w:t>
      </w:r>
      <w:r w:rsidR="003D0029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3D0029">
        <w:rPr>
          <w:bCs/>
          <w:color w:val="000000"/>
          <w:sz w:val="28"/>
          <w:szCs w:val="28"/>
        </w:rPr>
        <w:t>.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сельсовет»</w:t>
      </w:r>
      <w:r w:rsidR="003D0029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>
        <w:rPr>
          <w:bCs/>
          <w:color w:val="000000"/>
          <w:sz w:val="28"/>
          <w:szCs w:val="28"/>
        </w:rPr>
        <w:t>.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сельсовет»</w:t>
      </w:r>
      <w:r w:rsidR="003D0029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 w:val="28"/>
          <w:szCs w:val="28"/>
        </w:rPr>
        <w:t xml:space="preserve"> </w:t>
      </w:r>
      <w:r>
        <w:rPr>
          <w:bCs/>
        </w:rPr>
        <w:t>Председатель собрания депутатов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Старолещинского сельсовета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00D51">
        <w:rPr>
          <w:bCs/>
        </w:rPr>
        <w:t>Солнцевского района Курской области</w:t>
      </w:r>
      <w:r>
        <w:rPr>
          <w:bCs/>
        </w:rPr>
        <w:t xml:space="preserve">                                  О.В.Воробьева</w:t>
      </w:r>
    </w:p>
    <w:p w:rsidR="003D0029" w:rsidRDefault="003D0029" w:rsidP="003D0029">
      <w:pPr>
        <w:jc w:val="center"/>
      </w:pP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46A03">
        <w:rPr>
          <w:bCs/>
        </w:rPr>
        <w:t>Глава</w:t>
      </w:r>
      <w:r>
        <w:rPr>
          <w:bCs/>
        </w:rPr>
        <w:t xml:space="preserve"> Старолещинского сельсовета 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Солнцевского района Курской области                                   В.В.Воробьева</w:t>
      </w:r>
    </w:p>
    <w:p w:rsidR="00D03C14" w:rsidRPr="00700821" w:rsidRDefault="00D03C14" w:rsidP="00D03C14">
      <w:pPr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297A6F">
        <w:rPr>
          <w:b/>
          <w:bCs/>
          <w:color w:val="000000"/>
          <w:sz w:val="28"/>
          <w:szCs w:val="28"/>
        </w:rPr>
        <w:t xml:space="preserve"> </w:t>
      </w:r>
      <w:r w:rsidR="00297A6F">
        <w:rPr>
          <w:bCs/>
          <w:color w:val="000000"/>
        </w:rPr>
        <w:t>Собрания депутатов Старолещинского сельсовета Солнцевского района</w:t>
      </w:r>
    </w:p>
    <w:p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297A6F" w:rsidRPr="00700821" w:rsidRDefault="00D03C14" w:rsidP="00297A6F">
      <w:pPr>
        <w:jc w:val="center"/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297A6F" w:rsidRPr="00297A6F">
        <w:rPr>
          <w:b/>
          <w:bCs/>
          <w:color w:val="000000"/>
          <w:sz w:val="28"/>
          <w:szCs w:val="28"/>
        </w:rPr>
        <w:t xml:space="preserve"> </w:t>
      </w:r>
      <w:r w:rsidR="00297A6F" w:rsidRPr="003D0029">
        <w:rPr>
          <w:b/>
          <w:bCs/>
          <w:color w:val="000000"/>
          <w:sz w:val="28"/>
          <w:szCs w:val="28"/>
        </w:rPr>
        <w:t>муници</w:t>
      </w:r>
      <w:r w:rsidR="00297A6F">
        <w:rPr>
          <w:b/>
          <w:bCs/>
          <w:color w:val="000000"/>
          <w:sz w:val="28"/>
          <w:szCs w:val="28"/>
        </w:rPr>
        <w:t>пального образования «Старолещинский сельсовет</w:t>
      </w:r>
      <w:proofErr w:type="gramStart"/>
      <w:r w:rsidR="00297A6F">
        <w:rPr>
          <w:b/>
          <w:bCs/>
          <w:color w:val="000000"/>
          <w:sz w:val="28"/>
          <w:szCs w:val="28"/>
        </w:rPr>
        <w:t>»С</w:t>
      </w:r>
      <w:proofErr w:type="gramEnd"/>
      <w:r w:rsidR="00297A6F">
        <w:rPr>
          <w:b/>
          <w:bCs/>
          <w:color w:val="000000"/>
          <w:sz w:val="28"/>
          <w:szCs w:val="28"/>
        </w:rPr>
        <w:t>олнцевского района Курской области</w:t>
      </w:r>
    </w:p>
    <w:p w:rsidR="00297A6F" w:rsidRPr="00700821" w:rsidRDefault="00297A6F" w:rsidP="00297A6F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осуществления муниципального контроля в сфере благоустройства на территории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«Старолещинский сельсовет</w:t>
      </w:r>
      <w:proofErr w:type="gramStart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»С</w:t>
      </w:r>
      <w:proofErr w:type="gramEnd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олнцевского района Курской области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A6F" w:rsidRPr="00297A6F">
        <w:rPr>
          <w:rFonts w:ascii="Times New Roman" w:hAnsi="Times New Roman" w:cs="Times New Roman"/>
          <w:color w:val="000000"/>
        </w:rPr>
        <w:t xml:space="preserve"> 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«Старолещинский сельсовет</w:t>
      </w:r>
      <w:proofErr w:type="gramStart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»С</w:t>
      </w:r>
      <w:proofErr w:type="gramEnd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олнцевского района Курской области</w:t>
      </w:r>
      <w:r w:rsidR="00297A6F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 xml:space="preserve"> </w:t>
      </w:r>
      <w:r w:rsidR="00297A6F">
        <w:rPr>
          <w:bCs/>
          <w:color w:val="000000"/>
          <w:sz w:val="28"/>
          <w:szCs w:val="28"/>
        </w:rPr>
        <w:t>Старолещинского</w:t>
      </w:r>
      <w:r w:rsidR="00297A6F" w:rsidRPr="00297A6F">
        <w:rPr>
          <w:bCs/>
          <w:color w:val="000000"/>
          <w:sz w:val="28"/>
          <w:szCs w:val="28"/>
        </w:rPr>
        <w:t xml:space="preserve"> сельсовет</w:t>
      </w:r>
      <w:r w:rsidR="00297A6F">
        <w:rPr>
          <w:bCs/>
          <w:color w:val="000000"/>
          <w:sz w:val="28"/>
          <w:szCs w:val="28"/>
        </w:rPr>
        <w:t xml:space="preserve">а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="00297A6F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97A6F">
        <w:rPr>
          <w:color w:val="000000"/>
          <w:sz w:val="28"/>
          <w:szCs w:val="28"/>
        </w:rPr>
        <w:t>ведущий специалист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297A6F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</w:t>
      </w:r>
      <w:r w:rsidR="00297A6F">
        <w:rPr>
          <w:color w:val="000000"/>
          <w:sz w:val="28"/>
          <w:szCs w:val="28"/>
        </w:rPr>
        <w:t>требования по уборке территории</w:t>
      </w:r>
      <w:r w:rsidR="00297A6F" w:rsidRPr="00297A6F">
        <w:rPr>
          <w:bCs/>
          <w:color w:val="000000"/>
          <w:sz w:val="28"/>
          <w:szCs w:val="28"/>
        </w:rPr>
        <w:t xml:space="preserve"> муниципального образования «Старолещинский сельсовет»</w:t>
      </w:r>
      <w:r w:rsidR="00297A6F">
        <w:rPr>
          <w:bCs/>
          <w:color w:val="000000"/>
          <w:sz w:val="28"/>
          <w:szCs w:val="28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="00297A6F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297A6F" w:rsidRPr="00297A6F">
        <w:rPr>
          <w:bCs/>
          <w:color w:val="000000"/>
          <w:sz w:val="28"/>
          <w:szCs w:val="28"/>
        </w:rPr>
        <w:t xml:space="preserve"> муниципального образования «Старолещинский сельсовет»</w:t>
      </w:r>
      <w:r w:rsidR="00297A6F">
        <w:rPr>
          <w:bCs/>
          <w:color w:val="000000"/>
          <w:sz w:val="28"/>
          <w:szCs w:val="28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Pr="00700821">
        <w:rPr>
          <w:color w:val="000000"/>
          <w:sz w:val="28"/>
          <w:szCs w:val="28"/>
        </w:rPr>
        <w:t xml:space="preserve"> </w:t>
      </w:r>
      <w:r w:rsidR="00297A6F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</w:t>
      </w:r>
      <w:r w:rsidRPr="00700821">
        <w:rPr>
          <w:color w:val="000000"/>
          <w:sz w:val="28"/>
          <w:szCs w:val="28"/>
        </w:rPr>
        <w:lastRenderedPageBreak/>
        <w:t>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6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Старолещинского сельсовета Солнцевского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Старолещинского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97A6F">
        <w:rPr>
          <w:color w:val="000000"/>
          <w:sz w:val="28"/>
          <w:szCs w:val="28"/>
        </w:rPr>
        <w:t>Старолещинского сельсовета Солнцевского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Старолещинского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Старолещинского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>Старолещинского сельсовета Солнцевского района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</w:t>
      </w:r>
      <w:r w:rsidR="00D03C14" w:rsidRPr="00700821">
        <w:rPr>
          <w:color w:val="000000"/>
          <w:sz w:val="28"/>
          <w:szCs w:val="28"/>
        </w:rPr>
        <w:lastRenderedPageBreak/>
        <w:t>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344A0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>Старолещинского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 xml:space="preserve">Старолещинского 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834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344A0">
        <w:rPr>
          <w:rFonts w:ascii="Times New Roman" w:hAnsi="Times New Roman" w:cs="Times New Roman"/>
          <w:iCs/>
          <w:color w:val="000000"/>
          <w:sz w:val="24"/>
          <w:szCs w:val="24"/>
        </w:rPr>
        <w:t>Старолещинского сельсовета Солнцевского района</w:t>
      </w:r>
      <w:r w:rsidRPr="008629D3">
        <w:rPr>
          <w:rStyle w:val="aff2"/>
          <w:color w:val="000000"/>
          <w:sz w:val="24"/>
          <w:szCs w:val="24"/>
        </w:rPr>
        <w:footnoteReference w:id="1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8344A0">
        <w:rPr>
          <w:rFonts w:ascii="Times New Roman" w:hAnsi="Times New Roman" w:cs="Times New Roman"/>
          <w:color w:val="000000"/>
          <w:sz w:val="28"/>
          <w:szCs w:val="28"/>
        </w:rPr>
        <w:t>Старолещинского сельсовета Солнцевского района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344A0" w:rsidRPr="008344A0">
        <w:rPr>
          <w:rFonts w:ascii="Times New Roman" w:hAnsi="Times New Roman" w:cs="Times New Roman"/>
          <w:bCs/>
          <w:color w:val="000000"/>
          <w:sz w:val="28"/>
          <w:szCs w:val="28"/>
        </w:rPr>
        <w:t>Собранием</w:t>
      </w:r>
      <w:r w:rsidR="008344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депутатов Старолещинского сельсовета Солнцевского района Курской области</w:t>
      </w:r>
      <w:r w:rsidRPr="008344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8344A0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F8" w:rsidRDefault="007100F8" w:rsidP="00D03C14">
      <w:r>
        <w:separator/>
      </w:r>
    </w:p>
  </w:endnote>
  <w:endnote w:type="continuationSeparator" w:id="1">
    <w:p w:rsidR="007100F8" w:rsidRDefault="007100F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F8" w:rsidRDefault="007100F8" w:rsidP="00D03C14">
      <w:r>
        <w:separator/>
      </w:r>
    </w:p>
  </w:footnote>
  <w:footnote w:type="continuationSeparator" w:id="1">
    <w:p w:rsidR="007100F8" w:rsidRDefault="007100F8" w:rsidP="00D03C14">
      <w:r>
        <w:continuationSeparator/>
      </w:r>
    </w:p>
  </w:footnote>
  <w:footnote w:id="2">
    <w:p w:rsidR="008629D3" w:rsidRPr="008629D3" w:rsidRDefault="003D0029">
      <w:pPr>
        <w:pStyle w:val="af6"/>
      </w:pPr>
      <w:r>
        <w:rPr>
          <w:rStyle w:val="aff2"/>
        </w:rPr>
        <w:t xml:space="preserve"> </w:t>
      </w:r>
    </w:p>
  </w:footnote>
  <w:footnote w:id="3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5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6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9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:rsidR="008629D3" w:rsidRDefault="008629D3">
      <w:pPr>
        <w:pStyle w:val="af6"/>
      </w:pPr>
      <w:r>
        <w:rPr>
          <w:rStyle w:val="aff2"/>
        </w:rPr>
        <w:footnoteRef/>
      </w:r>
      <w:r>
        <w:t>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308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344A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308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344A0">
      <w:rPr>
        <w:rStyle w:val="afb"/>
        <w:noProof/>
      </w:rPr>
      <w:t>29</w:t>
    </w:r>
    <w:r>
      <w:rPr>
        <w:rStyle w:val="afb"/>
      </w:rPr>
      <w:fldChar w:fldCharType="end"/>
    </w:r>
  </w:p>
  <w:p w:rsidR="00E90F25" w:rsidRDefault="008344A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297A6F"/>
    <w:rsid w:val="003D0029"/>
    <w:rsid w:val="007100F8"/>
    <w:rsid w:val="008344A0"/>
    <w:rsid w:val="008629D3"/>
    <w:rsid w:val="00935631"/>
    <w:rsid w:val="009D07EB"/>
    <w:rsid w:val="00D03C14"/>
    <w:rsid w:val="00D3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3</cp:revision>
  <dcterms:created xsi:type="dcterms:W3CDTF">2021-08-23T11:09:00Z</dcterms:created>
  <dcterms:modified xsi:type="dcterms:W3CDTF">2021-10-19T09:21:00Z</dcterms:modified>
</cp:coreProperties>
</file>